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B4" w:rsidRDefault="00776C61" w:rsidP="001B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5943600" cy="12884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DDI logo-m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B4" w:rsidRDefault="001B52B4" w:rsidP="001B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"/>
        </w:rPr>
      </w:pPr>
    </w:p>
    <w:p w:rsidR="001B52B4" w:rsidRDefault="001B52B4" w:rsidP="001B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"/>
        </w:rPr>
      </w:pPr>
    </w:p>
    <w:p w:rsidR="001B52B4" w:rsidRDefault="001B52B4" w:rsidP="001B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"/>
        </w:rPr>
      </w:pP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sz w:val="28"/>
          <w:szCs w:val="28"/>
          <w:lang w:val="en"/>
        </w:rPr>
      </w:pP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sz w:val="28"/>
          <w:szCs w:val="28"/>
          <w:lang w:val="en"/>
        </w:rPr>
      </w:pP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sz w:val="28"/>
          <w:szCs w:val="28"/>
          <w:lang w:val="en"/>
        </w:rPr>
      </w:pP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sz w:val="28"/>
          <w:szCs w:val="28"/>
          <w:lang w:val="en"/>
        </w:rPr>
      </w:pP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sz w:val="28"/>
          <w:szCs w:val="28"/>
          <w:lang w:val="en"/>
        </w:rPr>
      </w:pP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sz w:val="28"/>
          <w:szCs w:val="28"/>
          <w:lang w:val="en"/>
        </w:rPr>
      </w:pP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sz w:val="28"/>
          <w:szCs w:val="28"/>
          <w:lang w:val="en"/>
        </w:rPr>
      </w:pP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b/>
          <w:bCs/>
          <w:sz w:val="24"/>
          <w:szCs w:val="24"/>
          <w:lang w:val="en"/>
        </w:rPr>
      </w:pPr>
    </w:p>
    <w:p w:rsidR="001B52B4" w:rsidRDefault="001B52B4" w:rsidP="001B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lang w:val="en"/>
        </w:rPr>
      </w:pPr>
      <w:r>
        <w:rPr>
          <w:rFonts w:ascii="Arial" w:hAnsi="Arial" w:cs="Arial"/>
          <w:b/>
          <w:bCs/>
          <w:sz w:val="40"/>
          <w:szCs w:val="40"/>
          <w:lang w:val="en"/>
        </w:rPr>
        <w:t>Tenant Engagement Policy (DRAFT)</w:t>
      </w: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b/>
          <w:bCs/>
          <w:sz w:val="24"/>
          <w:szCs w:val="24"/>
          <w:lang w:val="en"/>
        </w:rPr>
      </w:pP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b/>
          <w:bCs/>
          <w:sz w:val="24"/>
          <w:szCs w:val="24"/>
          <w:lang w:val="en"/>
        </w:rPr>
      </w:pP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b/>
          <w:bCs/>
          <w:sz w:val="24"/>
          <w:szCs w:val="24"/>
          <w:lang w:val="en"/>
        </w:rPr>
      </w:pP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b/>
          <w:bCs/>
          <w:sz w:val="24"/>
          <w:szCs w:val="24"/>
          <w:lang w:val="en"/>
        </w:rPr>
      </w:pP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b/>
          <w:bCs/>
          <w:sz w:val="24"/>
          <w:szCs w:val="24"/>
          <w:lang w:val="en"/>
        </w:rPr>
      </w:pP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b/>
          <w:bCs/>
          <w:sz w:val="24"/>
          <w:szCs w:val="24"/>
          <w:lang w:val="en"/>
        </w:rPr>
      </w:pP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b/>
          <w:bCs/>
          <w:sz w:val="24"/>
          <w:szCs w:val="24"/>
          <w:lang w:val="en"/>
        </w:rPr>
      </w:pP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b/>
          <w:bCs/>
          <w:sz w:val="24"/>
          <w:szCs w:val="24"/>
          <w:lang w:val="en"/>
        </w:rPr>
      </w:pP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Date Approved</w:t>
      </w:r>
      <w:r>
        <w:rPr>
          <w:rFonts w:ascii="Arial" w:hAnsi="Arial" w:cs="Arial"/>
          <w:b/>
          <w:bCs/>
          <w:spacing w:val="1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"/>
        </w:rPr>
        <w:t>b</w:t>
      </w:r>
      <w:r>
        <w:rPr>
          <w:rFonts w:ascii="Arial" w:hAnsi="Arial" w:cs="Arial"/>
          <w:b/>
          <w:bCs/>
          <w:spacing w:val="-3"/>
          <w:sz w:val="24"/>
          <w:szCs w:val="24"/>
          <w:lang w:val="en"/>
        </w:rPr>
        <w:t>y</w:t>
      </w:r>
      <w:r>
        <w:rPr>
          <w:rFonts w:ascii="Arial" w:hAnsi="Arial" w:cs="Arial"/>
          <w:b/>
          <w:bCs/>
          <w:sz w:val="24"/>
          <w:szCs w:val="24"/>
          <w:lang w:val="en"/>
        </w:rPr>
        <w:t>:</w:t>
      </w:r>
      <w:r>
        <w:rPr>
          <w:rFonts w:ascii="Arial" w:hAnsi="Arial" w:cs="Arial"/>
          <w:b/>
          <w:bCs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>[date]</w:t>
      </w:r>
      <w:r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</w:p>
    <w:p w:rsidR="001B52B4" w:rsidRDefault="001B52B4" w:rsidP="001B52B4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ind w:right="304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Date for Revie</w:t>
      </w:r>
      <w:r>
        <w:rPr>
          <w:rFonts w:ascii="Arial" w:hAnsi="Arial" w:cs="Arial"/>
          <w:b/>
          <w:bCs/>
          <w:spacing w:val="2"/>
          <w:sz w:val="24"/>
          <w:szCs w:val="24"/>
          <w:lang w:val="en"/>
        </w:rPr>
        <w:t>w</w:t>
      </w:r>
      <w:r>
        <w:rPr>
          <w:rFonts w:ascii="Arial" w:hAnsi="Arial" w:cs="Arial"/>
          <w:b/>
          <w:bCs/>
          <w:sz w:val="24"/>
          <w:szCs w:val="24"/>
          <w:lang w:val="en"/>
        </w:rPr>
        <w:t>:</w:t>
      </w:r>
      <w:r>
        <w:rPr>
          <w:rFonts w:ascii="Arial" w:hAnsi="Arial" w:cs="Arial"/>
          <w:b/>
          <w:bCs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>[date]</w:t>
      </w:r>
    </w:p>
    <w:p w:rsidR="001B52B4" w:rsidRDefault="001B52B4" w:rsidP="001B52B4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Version Control: </w:t>
      </w:r>
      <w:r>
        <w:rPr>
          <w:rFonts w:ascii="Arial" w:hAnsi="Arial" w:cs="Arial"/>
          <w:b/>
          <w:bCs/>
          <w:sz w:val="24"/>
          <w:szCs w:val="24"/>
          <w:lang w:val="en"/>
        </w:rPr>
        <w:tab/>
      </w:r>
      <w:r>
        <w:rPr>
          <w:rFonts w:ascii="Arial" w:hAnsi="Arial" w:cs="Arial"/>
          <w:b/>
          <w:bCs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>(version number)</w:t>
      </w:r>
    </w:p>
    <w:p w:rsidR="001B52B4" w:rsidRDefault="001B52B4" w:rsidP="001B52B4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"/>
        </w:rPr>
      </w:pPr>
    </w:p>
    <w:p w:rsidR="001B52B4" w:rsidRDefault="001B52B4" w:rsidP="001B52B4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Record of Policy</w:t>
      </w:r>
      <w:r>
        <w:rPr>
          <w:rFonts w:ascii="Arial" w:hAnsi="Arial" w:cs="Arial"/>
          <w:b/>
          <w:bCs/>
          <w:spacing w:val="-2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"/>
        </w:rPr>
        <w:t>Revi</w:t>
      </w:r>
      <w:r>
        <w:rPr>
          <w:rFonts w:ascii="Arial" w:hAnsi="Arial" w:cs="Arial"/>
          <w:b/>
          <w:bCs/>
          <w:spacing w:val="-1"/>
          <w:sz w:val="24"/>
          <w:szCs w:val="24"/>
          <w:lang w:val="en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  <w:lang w:val="en"/>
        </w:rPr>
        <w:t>w</w:t>
      </w:r>
      <w:r>
        <w:rPr>
          <w:rFonts w:ascii="Arial" w:hAnsi="Arial" w:cs="Arial"/>
          <w:b/>
          <w:bCs/>
          <w:sz w:val="24"/>
          <w:szCs w:val="24"/>
          <w:lang w:val="en"/>
        </w:rPr>
        <w:t>: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32"/>
        <w:gridCol w:w="3955"/>
        <w:gridCol w:w="3118"/>
      </w:tblGrid>
      <w:tr w:rsidR="001B52B4">
        <w:trPr>
          <w:trHeight w:val="804"/>
        </w:trPr>
        <w:tc>
          <w:tcPr>
            <w:tcW w:w="15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</w:tcPr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  <w:lang w:val="en"/>
              </w:rPr>
            </w:pPr>
          </w:p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ind w:right="56" w:hanging="6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Date Policy w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s Issued</w:t>
            </w:r>
          </w:p>
        </w:tc>
        <w:tc>
          <w:tcPr>
            <w:tcW w:w="143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</w:tcPr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  <w:lang w:val="en"/>
              </w:rPr>
            </w:pPr>
          </w:p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Date of</w:t>
            </w:r>
          </w:p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vi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w</w:t>
            </w:r>
          </w:p>
        </w:tc>
        <w:tc>
          <w:tcPr>
            <w:tcW w:w="395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</w:tcPr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  <w:lang w:val="en"/>
              </w:rPr>
            </w:pPr>
          </w:p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Re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  <w:lang w:val="en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"/>
              </w:rPr>
              <w:t xml:space="preserve">n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"/>
              </w:rPr>
              <w:t>f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"/>
              </w:rPr>
              <w:t xml:space="preserve">or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  <w:lang w:val="en"/>
              </w:rPr>
              <w:t>v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"/>
              </w:rPr>
              <w:t>ew</w:t>
            </w:r>
          </w:p>
        </w:tc>
        <w:tc>
          <w:tcPr>
            <w:tcW w:w="311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</w:tcPr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  <w:lang w:val="en"/>
              </w:rPr>
            </w:pPr>
          </w:p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Additional 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ents</w:t>
            </w:r>
          </w:p>
        </w:tc>
      </w:tr>
      <w:tr w:rsidR="001B52B4">
        <w:trPr>
          <w:trHeight w:val="1068"/>
        </w:trPr>
        <w:tc>
          <w:tcPr>
            <w:tcW w:w="15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000000" w:fill="FFFFFF"/>
          </w:tcPr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[month,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"/>
              </w:rPr>
              <w:t>]</w:t>
            </w:r>
          </w:p>
        </w:tc>
        <w:tc>
          <w:tcPr>
            <w:tcW w:w="143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000000" w:fill="FFFFFF"/>
          </w:tcPr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[month,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"/>
              </w:rPr>
              <w:t>]</w:t>
            </w:r>
          </w:p>
        </w:tc>
        <w:tc>
          <w:tcPr>
            <w:tcW w:w="395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000000" w:fill="FFFFFF"/>
          </w:tcPr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[for example, inc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n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rp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n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rate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chan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n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es</w:t>
            </w:r>
          </w:p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to new leg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n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sl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tion]</w:t>
            </w:r>
          </w:p>
        </w:tc>
        <w:tc>
          <w:tcPr>
            <w:tcW w:w="311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000000" w:fill="FFFFFF"/>
          </w:tcPr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[for example, policy</w:t>
            </w:r>
          </w:p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Calibri" w:hAnsi="Calibri" w:cs="Calibri"/>
                <w:lang w:val="e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"/>
              </w:rPr>
              <w:t>now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covers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n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etails related to 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w legis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n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ation].</w:t>
            </w:r>
          </w:p>
        </w:tc>
      </w:tr>
      <w:tr w:rsidR="001B52B4">
        <w:trPr>
          <w:trHeight w:val="328"/>
        </w:trPr>
        <w:tc>
          <w:tcPr>
            <w:tcW w:w="15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000000" w:fill="FFFFFF"/>
          </w:tcPr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3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000000" w:fill="FFFFFF"/>
          </w:tcPr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000000" w:fill="FFFFFF"/>
          </w:tcPr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11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000000" w:fill="FFFFFF"/>
          </w:tcPr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1B52B4">
        <w:trPr>
          <w:trHeight w:val="328"/>
        </w:trPr>
        <w:tc>
          <w:tcPr>
            <w:tcW w:w="15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000000" w:fill="FFFFFF"/>
          </w:tcPr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3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000000" w:fill="FFFFFF"/>
          </w:tcPr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000000" w:fill="FFFFFF"/>
          </w:tcPr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11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000000" w:fill="FFFFFF"/>
          </w:tcPr>
          <w:p w:rsidR="001B52B4" w:rsidRDefault="001B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65EA6">
        <w:trPr>
          <w:trHeight w:val="328"/>
        </w:trPr>
        <w:tc>
          <w:tcPr>
            <w:tcW w:w="156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000000" w:fill="FFFFFF"/>
          </w:tcPr>
          <w:p w:rsidR="00265EA6" w:rsidRDefault="0026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3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000000" w:fill="FFFFFF"/>
          </w:tcPr>
          <w:p w:rsidR="00265EA6" w:rsidRDefault="0026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000000" w:fill="FFFFFF"/>
          </w:tcPr>
          <w:p w:rsidR="00265EA6" w:rsidRDefault="0026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11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000000" w:fill="FFFFFF"/>
          </w:tcPr>
          <w:p w:rsidR="00265EA6" w:rsidRDefault="0026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:rsidR="00776C61" w:rsidRDefault="00776C61">
      <w:pPr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br w:type="page"/>
      </w:r>
    </w:p>
    <w:p w:rsidR="001B52B4" w:rsidRDefault="001B52B4" w:rsidP="001B52B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lastRenderedPageBreak/>
        <w:t>Introduction</w:t>
      </w:r>
    </w:p>
    <w:p w:rsidR="001B52B4" w:rsidRDefault="001B52B4" w:rsidP="001B52B4">
      <w:pPr>
        <w:autoSpaceDE w:val="0"/>
        <w:autoSpaceDN w:val="0"/>
        <w:adjustRightInd w:val="0"/>
        <w:spacing w:before="240" w:after="240"/>
        <w:rPr>
          <w:rFonts w:ascii="Arial" w:hAnsi="Arial" w:cs="Arial"/>
          <w:lang w:val="en"/>
        </w:rPr>
      </w:pPr>
    </w:p>
    <w:p w:rsidR="001B52B4" w:rsidRDefault="001B52B4" w:rsidP="001B52B4">
      <w:pPr>
        <w:autoSpaceDE w:val="0"/>
        <w:autoSpaceDN w:val="0"/>
        <w:adjustRightInd w:val="0"/>
        <w:spacing w:before="240" w:after="24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This Tenant Engagement Policy sets out the commitment of </w:t>
      </w:r>
      <w:r w:rsidR="00265EA6" w:rsidRPr="003F3A71">
        <w:rPr>
          <w:rFonts w:ascii="Arial" w:hAnsi="Arial" w:cs="Arial"/>
          <w:b/>
          <w:lang w:val="en"/>
        </w:rPr>
        <w:t>WADDI HOUSING and Advancement Corp. Ltd (herein referred to as ‘WHA</w:t>
      </w:r>
      <w:r w:rsidR="00265EA6">
        <w:rPr>
          <w:rFonts w:ascii="Arial" w:hAnsi="Arial" w:cs="Arial"/>
          <w:b/>
          <w:lang w:val="en"/>
        </w:rPr>
        <w:t>A</w:t>
      </w:r>
      <w:r w:rsidR="00265EA6" w:rsidRPr="003F3A71">
        <w:rPr>
          <w:rFonts w:ascii="Arial" w:hAnsi="Arial" w:cs="Arial"/>
          <w:b/>
          <w:lang w:val="en"/>
        </w:rPr>
        <w:t>CL</w:t>
      </w:r>
      <w:r w:rsidR="00265EA6" w:rsidRPr="00C02FEE">
        <w:rPr>
          <w:rFonts w:ascii="Arial" w:hAnsi="Arial" w:cs="Arial"/>
          <w:b/>
          <w:lang w:val="en"/>
        </w:rPr>
        <w:t>’</w:t>
      </w:r>
      <w:r w:rsidR="00265EA6" w:rsidRPr="00C07B31">
        <w:rPr>
          <w:rFonts w:ascii="Arial" w:hAnsi="Arial" w:cs="Arial"/>
          <w:b/>
          <w:lang w:val="en"/>
        </w:rPr>
        <w:t>)</w:t>
      </w:r>
      <w:r>
        <w:rPr>
          <w:rFonts w:ascii="Arial" w:hAnsi="Arial" w:cs="Arial"/>
          <w:lang w:val="en"/>
        </w:rPr>
        <w:t xml:space="preserve"> to Tenant Engagement as an essential aspect of its tenancy management service.</w:t>
      </w:r>
    </w:p>
    <w:p w:rsidR="001B52B4" w:rsidRDefault="001B52B4" w:rsidP="001B52B4">
      <w:pPr>
        <w:autoSpaceDE w:val="0"/>
        <w:autoSpaceDN w:val="0"/>
        <w:adjustRightInd w:val="0"/>
        <w:spacing w:before="240" w:after="240"/>
        <w:rPr>
          <w:rFonts w:ascii="Arial" w:hAnsi="Arial" w:cs="Arial"/>
          <w:lang w:val="en"/>
        </w:rPr>
      </w:pPr>
    </w:p>
    <w:p w:rsidR="001B52B4" w:rsidRDefault="001B52B4" w:rsidP="001B52B4">
      <w:pPr>
        <w:autoSpaceDE w:val="0"/>
        <w:autoSpaceDN w:val="0"/>
        <w:adjustRightInd w:val="0"/>
        <w:spacing w:before="240" w:after="24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This policy demonstrates how </w:t>
      </w:r>
      <w:r w:rsidR="00265EA6" w:rsidRPr="003F3A71">
        <w:rPr>
          <w:rFonts w:ascii="Arial" w:hAnsi="Arial" w:cs="Arial"/>
          <w:b/>
          <w:lang w:val="en"/>
        </w:rPr>
        <w:t>‘WHA</w:t>
      </w:r>
      <w:r w:rsidR="00265EA6">
        <w:rPr>
          <w:rFonts w:ascii="Arial" w:hAnsi="Arial" w:cs="Arial"/>
          <w:b/>
          <w:lang w:val="en"/>
        </w:rPr>
        <w:t>A</w:t>
      </w:r>
      <w:r w:rsidR="00265EA6" w:rsidRPr="003F3A71">
        <w:rPr>
          <w:rFonts w:ascii="Arial" w:hAnsi="Arial" w:cs="Arial"/>
          <w:b/>
          <w:lang w:val="en"/>
        </w:rPr>
        <w:t>CL</w:t>
      </w:r>
      <w:r w:rsidR="00265EA6" w:rsidRPr="00C02FEE">
        <w:rPr>
          <w:rFonts w:ascii="Arial" w:hAnsi="Arial" w:cs="Arial"/>
          <w:b/>
          <w:lang w:val="en"/>
        </w:rPr>
        <w:t>’</w:t>
      </w:r>
      <w:r>
        <w:rPr>
          <w:rFonts w:ascii="Arial" w:hAnsi="Arial" w:cs="Arial"/>
          <w:lang w:val="en"/>
        </w:rPr>
        <w:t xml:space="preserve"> and tenants will work in partnership together to shape and deliver a high quality tenancy management service and contribute to initiatives that promote the benefits of Aboriginal community housing and support the local community.</w:t>
      </w:r>
    </w:p>
    <w:p w:rsidR="001B52B4" w:rsidRDefault="001B52B4" w:rsidP="001B52B4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</w:p>
    <w:p w:rsidR="001B52B4" w:rsidRDefault="001B52B4" w:rsidP="001B52B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Purpose</w:t>
      </w:r>
    </w:p>
    <w:p w:rsidR="001B52B4" w:rsidRDefault="001B52B4" w:rsidP="001B52B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4"/>
          <w:szCs w:val="24"/>
          <w:lang w:val="en"/>
        </w:rPr>
      </w:pPr>
    </w:p>
    <w:p w:rsidR="001B52B4" w:rsidRDefault="001B52B4" w:rsidP="001B52B4">
      <w:pPr>
        <w:autoSpaceDE w:val="0"/>
        <w:autoSpaceDN w:val="0"/>
        <w:adjustRightInd w:val="0"/>
        <w:spacing w:before="120" w:after="120"/>
        <w:ind w:left="11" w:hanging="11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The purpose of the Tenant Engagement Policy is to establish a framework to ensure that </w:t>
      </w:r>
      <w:r w:rsidR="00265EA6" w:rsidRPr="003F3A71">
        <w:rPr>
          <w:rFonts w:ascii="Arial" w:hAnsi="Arial" w:cs="Arial"/>
          <w:b/>
          <w:lang w:val="en"/>
        </w:rPr>
        <w:t>‘WHA</w:t>
      </w:r>
      <w:r w:rsidR="00265EA6">
        <w:rPr>
          <w:rFonts w:ascii="Arial" w:hAnsi="Arial" w:cs="Arial"/>
          <w:b/>
          <w:lang w:val="en"/>
        </w:rPr>
        <w:t>A</w:t>
      </w:r>
      <w:r w:rsidR="00265EA6" w:rsidRPr="003F3A71">
        <w:rPr>
          <w:rFonts w:ascii="Arial" w:hAnsi="Arial" w:cs="Arial"/>
          <w:b/>
          <w:lang w:val="en"/>
        </w:rPr>
        <w:t>CL</w:t>
      </w:r>
      <w:r w:rsidR="00265EA6" w:rsidRPr="00C02FEE">
        <w:rPr>
          <w:rFonts w:ascii="Arial" w:hAnsi="Arial" w:cs="Arial"/>
          <w:b/>
          <w:lang w:val="en"/>
        </w:rPr>
        <w:t>’</w:t>
      </w:r>
      <w:r>
        <w:rPr>
          <w:rFonts w:ascii="Arial" w:hAnsi="Arial" w:cs="Arial"/>
          <w:b/>
          <w:bCs/>
          <w:lang w:val="en"/>
        </w:rPr>
        <w:t xml:space="preserve"> </w:t>
      </w:r>
      <w:r>
        <w:rPr>
          <w:rFonts w:ascii="Arial" w:hAnsi="Arial" w:cs="Arial"/>
          <w:lang w:val="en"/>
        </w:rPr>
        <w:t>meets the requirements of the AHO HACP and demonstrates best practice in accordance with government legislation and guidance.</w:t>
      </w:r>
    </w:p>
    <w:p w:rsidR="001B52B4" w:rsidRDefault="001B52B4" w:rsidP="001B52B4">
      <w:pPr>
        <w:autoSpaceDE w:val="0"/>
        <w:autoSpaceDN w:val="0"/>
        <w:adjustRightInd w:val="0"/>
        <w:spacing w:before="120" w:after="120"/>
        <w:ind w:left="11" w:hanging="11"/>
        <w:rPr>
          <w:rFonts w:ascii="Arial" w:hAnsi="Arial" w:cs="Arial"/>
          <w:lang w:val="en"/>
        </w:rPr>
      </w:pPr>
    </w:p>
    <w:p w:rsidR="001B52B4" w:rsidRDefault="001B52B4" w:rsidP="001B52B4">
      <w:pPr>
        <w:autoSpaceDE w:val="0"/>
        <w:autoSpaceDN w:val="0"/>
        <w:adjustRightInd w:val="0"/>
        <w:spacing w:before="120" w:after="1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It also sets out ways in which </w:t>
      </w:r>
      <w:r w:rsidR="00265EA6" w:rsidRPr="003F3A71">
        <w:rPr>
          <w:rFonts w:ascii="Arial" w:hAnsi="Arial" w:cs="Arial"/>
          <w:b/>
          <w:lang w:val="en"/>
        </w:rPr>
        <w:t>‘WHA</w:t>
      </w:r>
      <w:r w:rsidR="00265EA6">
        <w:rPr>
          <w:rFonts w:ascii="Arial" w:hAnsi="Arial" w:cs="Arial"/>
          <w:b/>
          <w:lang w:val="en"/>
        </w:rPr>
        <w:t>A</w:t>
      </w:r>
      <w:r w:rsidR="00265EA6" w:rsidRPr="003F3A71">
        <w:rPr>
          <w:rFonts w:ascii="Arial" w:hAnsi="Arial" w:cs="Arial"/>
          <w:b/>
          <w:lang w:val="en"/>
        </w:rPr>
        <w:t>CL</w:t>
      </w:r>
      <w:r w:rsidR="00265EA6" w:rsidRPr="00C02FEE">
        <w:rPr>
          <w:rFonts w:ascii="Arial" w:hAnsi="Arial" w:cs="Arial"/>
          <w:b/>
          <w:lang w:val="en"/>
        </w:rPr>
        <w:t>’</w:t>
      </w:r>
      <w:r>
        <w:rPr>
          <w:rFonts w:ascii="Arial" w:hAnsi="Arial" w:cs="Arial"/>
          <w:lang w:val="en"/>
        </w:rPr>
        <w:t xml:space="preserve"> will enable and encourage tenants to be actively involved and demonstrate that tenants are part of the continuous service review and improvement process. </w:t>
      </w:r>
    </w:p>
    <w:p w:rsidR="001B52B4" w:rsidRDefault="001B52B4" w:rsidP="001B52B4">
      <w:pPr>
        <w:autoSpaceDE w:val="0"/>
        <w:autoSpaceDN w:val="0"/>
        <w:adjustRightInd w:val="0"/>
        <w:spacing w:before="120" w:after="120"/>
        <w:rPr>
          <w:rFonts w:ascii="Arial" w:hAnsi="Arial" w:cs="Arial"/>
          <w:lang w:val="en"/>
        </w:rPr>
      </w:pPr>
    </w:p>
    <w:p w:rsidR="001B52B4" w:rsidRDefault="001B52B4" w:rsidP="001B52B4">
      <w:pPr>
        <w:autoSpaceDE w:val="0"/>
        <w:autoSpaceDN w:val="0"/>
        <w:adjustRightInd w:val="0"/>
        <w:spacing w:before="120" w:after="120"/>
        <w:ind w:left="11" w:hanging="11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The Tenant Engagement Policy is intended to achieve three objectives: </w:t>
      </w:r>
    </w:p>
    <w:p w:rsidR="001B52B4" w:rsidRDefault="001B52B4" w:rsidP="001B52B4">
      <w:pPr>
        <w:autoSpaceDE w:val="0"/>
        <w:autoSpaceDN w:val="0"/>
        <w:adjustRightInd w:val="0"/>
        <w:spacing w:before="120" w:after="120"/>
        <w:ind w:left="11" w:hanging="11"/>
        <w:rPr>
          <w:rFonts w:ascii="Arial" w:hAnsi="Arial" w:cs="Arial"/>
          <w:lang w:val="en"/>
        </w:rPr>
      </w:pP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To ensure that </w:t>
      </w:r>
      <w:r w:rsidR="00265EA6" w:rsidRPr="003F3A71">
        <w:rPr>
          <w:rFonts w:ascii="Arial" w:hAnsi="Arial" w:cs="Arial"/>
          <w:b/>
          <w:lang w:val="en"/>
        </w:rPr>
        <w:t>‘WHA</w:t>
      </w:r>
      <w:r w:rsidR="00265EA6">
        <w:rPr>
          <w:rFonts w:ascii="Arial" w:hAnsi="Arial" w:cs="Arial"/>
          <w:b/>
          <w:lang w:val="en"/>
        </w:rPr>
        <w:t>A</w:t>
      </w:r>
      <w:r w:rsidR="00265EA6" w:rsidRPr="003F3A71">
        <w:rPr>
          <w:rFonts w:ascii="Arial" w:hAnsi="Arial" w:cs="Arial"/>
          <w:b/>
          <w:lang w:val="en"/>
        </w:rPr>
        <w:t>CL</w:t>
      </w:r>
      <w:r w:rsidR="00265EA6" w:rsidRPr="00C02FEE">
        <w:rPr>
          <w:rFonts w:ascii="Arial" w:hAnsi="Arial" w:cs="Arial"/>
          <w:b/>
          <w:lang w:val="en"/>
        </w:rPr>
        <w:t>’</w:t>
      </w:r>
      <w:r>
        <w:rPr>
          <w:rFonts w:ascii="Arial" w:hAnsi="Arial" w:cs="Arial"/>
          <w:lang w:val="en"/>
        </w:rPr>
        <w:t xml:space="preserve"> promotes Aboriginal community housing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To ensure that </w:t>
      </w:r>
      <w:r w:rsidR="00265EA6" w:rsidRPr="003F3A71">
        <w:rPr>
          <w:rFonts w:ascii="Arial" w:hAnsi="Arial" w:cs="Arial"/>
          <w:b/>
          <w:lang w:val="en"/>
        </w:rPr>
        <w:t>‘WHA</w:t>
      </w:r>
      <w:r w:rsidR="00265EA6">
        <w:rPr>
          <w:rFonts w:ascii="Arial" w:hAnsi="Arial" w:cs="Arial"/>
          <w:b/>
          <w:lang w:val="en"/>
        </w:rPr>
        <w:t>A</w:t>
      </w:r>
      <w:r w:rsidR="00265EA6" w:rsidRPr="003F3A71">
        <w:rPr>
          <w:rFonts w:ascii="Arial" w:hAnsi="Arial" w:cs="Arial"/>
          <w:b/>
          <w:lang w:val="en"/>
        </w:rPr>
        <w:t>CL</w:t>
      </w:r>
      <w:r w:rsidR="00265EA6" w:rsidRPr="00C02FEE">
        <w:rPr>
          <w:rFonts w:ascii="Arial" w:hAnsi="Arial" w:cs="Arial"/>
          <w:b/>
          <w:lang w:val="en"/>
        </w:rPr>
        <w:t>’</w:t>
      </w:r>
      <w:r>
        <w:rPr>
          <w:rFonts w:ascii="Arial" w:hAnsi="Arial" w:cs="Arial"/>
          <w:lang w:val="en"/>
        </w:rPr>
        <w:t xml:space="preserve"> contributes to the local community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To ensure that </w:t>
      </w:r>
      <w:r w:rsidR="00265EA6" w:rsidRPr="003F3A71">
        <w:rPr>
          <w:rFonts w:ascii="Arial" w:hAnsi="Arial" w:cs="Arial"/>
          <w:b/>
          <w:lang w:val="en"/>
        </w:rPr>
        <w:t>‘WHA</w:t>
      </w:r>
      <w:r w:rsidR="00265EA6">
        <w:rPr>
          <w:rFonts w:ascii="Arial" w:hAnsi="Arial" w:cs="Arial"/>
          <w:b/>
          <w:lang w:val="en"/>
        </w:rPr>
        <w:t>A</w:t>
      </w:r>
      <w:r w:rsidR="00265EA6" w:rsidRPr="003F3A71">
        <w:rPr>
          <w:rFonts w:ascii="Arial" w:hAnsi="Arial" w:cs="Arial"/>
          <w:b/>
          <w:lang w:val="en"/>
        </w:rPr>
        <w:t>CL</w:t>
      </w:r>
      <w:r w:rsidR="00265EA6" w:rsidRPr="00C02FEE">
        <w:rPr>
          <w:rFonts w:ascii="Arial" w:hAnsi="Arial" w:cs="Arial"/>
          <w:b/>
          <w:lang w:val="en"/>
        </w:rPr>
        <w:t>’</w:t>
      </w:r>
      <w:r w:rsidR="00265EA6">
        <w:rPr>
          <w:rFonts w:ascii="Arial" w:hAnsi="Arial" w:cs="Arial"/>
          <w:b/>
          <w:lang w:val="en"/>
        </w:rPr>
        <w:t xml:space="preserve"> </w:t>
      </w:r>
      <w:r>
        <w:rPr>
          <w:rFonts w:ascii="Arial" w:hAnsi="Arial" w:cs="Arial"/>
          <w:lang w:val="en"/>
        </w:rPr>
        <w:t>engages with the local community on housing related issues</w:t>
      </w:r>
    </w:p>
    <w:p w:rsidR="001B52B4" w:rsidRDefault="001B52B4">
      <w:pPr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br w:type="page"/>
      </w:r>
    </w:p>
    <w:p w:rsidR="001B52B4" w:rsidRDefault="001B52B4" w:rsidP="001B52B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lastRenderedPageBreak/>
        <w:t>Policy</w:t>
      </w:r>
    </w:p>
    <w:p w:rsidR="001B52B4" w:rsidRDefault="001B52B4" w:rsidP="001B52B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4"/>
          <w:szCs w:val="24"/>
          <w:lang w:val="en"/>
        </w:rPr>
      </w:pPr>
    </w:p>
    <w:p w:rsidR="001B52B4" w:rsidRDefault="001B52B4" w:rsidP="001B52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1. Promoting Aboriginal community housing</w:t>
      </w:r>
    </w:p>
    <w:p w:rsidR="001B52B4" w:rsidRDefault="001B52B4" w:rsidP="001B52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lang w:val="en"/>
        </w:rPr>
      </w:pPr>
    </w:p>
    <w:p w:rsidR="001B52B4" w:rsidRDefault="00265EA6" w:rsidP="001B52B4">
      <w:pPr>
        <w:autoSpaceDE w:val="0"/>
        <w:autoSpaceDN w:val="0"/>
        <w:adjustRightInd w:val="0"/>
        <w:spacing w:before="240" w:after="240"/>
        <w:rPr>
          <w:rFonts w:ascii="Arial" w:hAnsi="Arial" w:cs="Arial"/>
          <w:lang w:val="en"/>
        </w:rPr>
      </w:pPr>
      <w:r w:rsidRPr="003F3A71">
        <w:rPr>
          <w:rFonts w:ascii="Arial" w:hAnsi="Arial" w:cs="Arial"/>
          <w:b/>
          <w:lang w:val="en"/>
        </w:rPr>
        <w:t>‘WHA</w:t>
      </w:r>
      <w:r>
        <w:rPr>
          <w:rFonts w:ascii="Arial" w:hAnsi="Arial" w:cs="Arial"/>
          <w:b/>
          <w:lang w:val="en"/>
        </w:rPr>
        <w:t>A</w:t>
      </w:r>
      <w:r w:rsidRPr="003F3A71">
        <w:rPr>
          <w:rFonts w:ascii="Arial" w:hAnsi="Arial" w:cs="Arial"/>
          <w:b/>
          <w:lang w:val="en"/>
        </w:rPr>
        <w:t>CL</w:t>
      </w:r>
      <w:r w:rsidRPr="00C02FEE">
        <w:rPr>
          <w:rFonts w:ascii="Arial" w:hAnsi="Arial" w:cs="Arial"/>
          <w:b/>
          <w:lang w:val="en"/>
        </w:rPr>
        <w:t>’</w:t>
      </w:r>
      <w:r w:rsidR="001B52B4">
        <w:rPr>
          <w:rFonts w:ascii="Arial" w:hAnsi="Arial" w:cs="Arial"/>
          <w:lang w:val="en"/>
        </w:rPr>
        <w:t xml:space="preserve"> contributes to activities that promote Aboriginal community housing by: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Telling community members about community housing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Being involved in local area planning for housing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Giving information to other </w:t>
      </w:r>
      <w:proofErr w:type="spellStart"/>
      <w:r>
        <w:rPr>
          <w:rFonts w:ascii="Arial" w:hAnsi="Arial" w:cs="Arial"/>
          <w:lang w:val="en"/>
        </w:rPr>
        <w:t>organisations</w:t>
      </w:r>
      <w:proofErr w:type="spellEnd"/>
      <w:r>
        <w:rPr>
          <w:rFonts w:ascii="Arial" w:hAnsi="Arial" w:cs="Arial"/>
          <w:lang w:val="en"/>
        </w:rPr>
        <w:t xml:space="preserve"> about our services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Taking part in local community housing forums or networks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Attending relevant conferences and seminars</w:t>
      </w:r>
    </w:p>
    <w:p w:rsidR="001B52B4" w:rsidRDefault="001B52B4" w:rsidP="001B52B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2. Contributing to the local community</w:t>
      </w:r>
    </w:p>
    <w:p w:rsidR="001B52B4" w:rsidRDefault="001B52B4" w:rsidP="001B52B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lang w:val="en"/>
        </w:rPr>
      </w:pPr>
    </w:p>
    <w:p w:rsidR="001B52B4" w:rsidRDefault="00265EA6" w:rsidP="001B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F3A71">
        <w:rPr>
          <w:rFonts w:ascii="Arial" w:hAnsi="Arial" w:cs="Arial"/>
          <w:b/>
          <w:lang w:val="en"/>
        </w:rPr>
        <w:t>‘WHA</w:t>
      </w:r>
      <w:r>
        <w:rPr>
          <w:rFonts w:ascii="Arial" w:hAnsi="Arial" w:cs="Arial"/>
          <w:b/>
          <w:lang w:val="en"/>
        </w:rPr>
        <w:t>A</w:t>
      </w:r>
      <w:r w:rsidRPr="003F3A71">
        <w:rPr>
          <w:rFonts w:ascii="Arial" w:hAnsi="Arial" w:cs="Arial"/>
          <w:b/>
          <w:lang w:val="en"/>
        </w:rPr>
        <w:t>CL</w:t>
      </w:r>
      <w:r w:rsidRPr="00C02FEE">
        <w:rPr>
          <w:rFonts w:ascii="Arial" w:hAnsi="Arial" w:cs="Arial"/>
          <w:b/>
          <w:lang w:val="en"/>
        </w:rPr>
        <w:t>’</w:t>
      </w:r>
      <w:r w:rsidR="001B52B4">
        <w:rPr>
          <w:rFonts w:ascii="Arial" w:hAnsi="Arial" w:cs="Arial"/>
          <w:lang w:val="en"/>
        </w:rPr>
        <w:t xml:space="preserve"> contributes to the local community by taking part in local activities on community issues. This includes:</w:t>
      </w:r>
    </w:p>
    <w:p w:rsidR="001B52B4" w:rsidRDefault="001B52B4" w:rsidP="001B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Having good working relationships with other agencies likely to be important to tenants and applicants (e.g. government departments, local community </w:t>
      </w:r>
      <w:proofErr w:type="spellStart"/>
      <w:r>
        <w:rPr>
          <w:rFonts w:ascii="Arial" w:hAnsi="Arial" w:cs="Arial"/>
          <w:lang w:val="en"/>
        </w:rPr>
        <w:t>organisations</w:t>
      </w:r>
      <w:proofErr w:type="spellEnd"/>
      <w:r>
        <w:rPr>
          <w:rFonts w:ascii="Arial" w:hAnsi="Arial" w:cs="Arial"/>
          <w:lang w:val="en"/>
        </w:rPr>
        <w:t xml:space="preserve"> such as Aboriginal Medical Services, Legal Services, Aboriginal Tenancy Advice and Advocacy Services, Department of Fair Trading)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Being involved in local area planning on housing matters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Having an up-to-date referral and resource list, and making this information available to tenants and applicants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Actively assisting tenants to gain support from other agencies when the need arises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Establishing and maintaining links with mainstream housing providers to address housing needs and providing information to other relevant agencies about its services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Working with other agencies and community members to improve coordination of services delivered in the community</w:t>
      </w:r>
    </w:p>
    <w:p w:rsidR="00DB0BC1" w:rsidRPr="00DB0BC1" w:rsidRDefault="001B52B4" w:rsidP="00DB0BC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 w:rsidRPr="00DB0BC1">
        <w:rPr>
          <w:rFonts w:ascii="Arial" w:hAnsi="Arial" w:cs="Arial"/>
          <w:lang w:val="en"/>
        </w:rPr>
        <w:t xml:space="preserve">Ensuring that members and staff work collaboratively with other community </w:t>
      </w:r>
      <w:proofErr w:type="spellStart"/>
      <w:r w:rsidRPr="00DB0BC1">
        <w:rPr>
          <w:rFonts w:ascii="Arial" w:hAnsi="Arial" w:cs="Arial"/>
          <w:lang w:val="en"/>
        </w:rPr>
        <w:t>organisations</w:t>
      </w:r>
      <w:proofErr w:type="spellEnd"/>
      <w:r w:rsidRPr="00DB0BC1">
        <w:rPr>
          <w:rFonts w:ascii="Arial" w:hAnsi="Arial" w:cs="Arial"/>
          <w:lang w:val="en"/>
        </w:rPr>
        <w:t>, groups and individuals on specific or special projects</w:t>
      </w:r>
      <w:r w:rsidR="00DB0BC1" w:rsidRPr="00DB0BC1">
        <w:rPr>
          <w:rFonts w:ascii="Arial" w:hAnsi="Arial" w:cs="Arial"/>
          <w:lang w:val="en"/>
        </w:rPr>
        <w:t xml:space="preserve">  </w:t>
      </w:r>
      <w:r w:rsidR="00DB0BC1" w:rsidRPr="00DB0BC1">
        <w:rPr>
          <w:rFonts w:ascii="Arial" w:hAnsi="Arial" w:cs="Arial"/>
          <w:lang w:val="en"/>
        </w:rPr>
        <w:br w:type="page"/>
      </w:r>
    </w:p>
    <w:p w:rsidR="001B52B4" w:rsidRDefault="001B52B4" w:rsidP="001B52B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lastRenderedPageBreak/>
        <w:t xml:space="preserve">3. Engaging with the local community </w:t>
      </w:r>
    </w:p>
    <w:p w:rsidR="001B52B4" w:rsidRDefault="001B52B4" w:rsidP="001B52B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"/>
        </w:rPr>
      </w:pPr>
    </w:p>
    <w:p w:rsidR="001B52B4" w:rsidRDefault="00265EA6" w:rsidP="001B52B4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  <w:r w:rsidRPr="003F3A71">
        <w:rPr>
          <w:rFonts w:ascii="Arial" w:hAnsi="Arial" w:cs="Arial"/>
          <w:b/>
          <w:lang w:val="en"/>
        </w:rPr>
        <w:t>‘WHA</w:t>
      </w:r>
      <w:r>
        <w:rPr>
          <w:rFonts w:ascii="Arial" w:hAnsi="Arial" w:cs="Arial"/>
          <w:b/>
          <w:lang w:val="en"/>
        </w:rPr>
        <w:t>A</w:t>
      </w:r>
      <w:r w:rsidRPr="003F3A71">
        <w:rPr>
          <w:rFonts w:ascii="Arial" w:hAnsi="Arial" w:cs="Arial"/>
          <w:b/>
          <w:lang w:val="en"/>
        </w:rPr>
        <w:t>CL</w:t>
      </w:r>
      <w:r w:rsidRPr="00C02FEE">
        <w:rPr>
          <w:rFonts w:ascii="Arial" w:hAnsi="Arial" w:cs="Arial"/>
          <w:b/>
          <w:lang w:val="en"/>
        </w:rPr>
        <w:t>’</w:t>
      </w:r>
      <w:r w:rsidR="001B52B4">
        <w:rPr>
          <w:rFonts w:ascii="Arial" w:hAnsi="Arial" w:cs="Arial"/>
          <w:lang w:val="en"/>
        </w:rPr>
        <w:t xml:space="preserve"> engages with the local community on housing related issues by building and establishing relationships with tenants, applicants and community members/leaders. To ensure effective engagement with Aboriginal communities, </w:t>
      </w:r>
      <w:r w:rsidRPr="003F3A71">
        <w:rPr>
          <w:rFonts w:ascii="Arial" w:hAnsi="Arial" w:cs="Arial"/>
          <w:b/>
          <w:lang w:val="en"/>
        </w:rPr>
        <w:t>‘WHA</w:t>
      </w:r>
      <w:r>
        <w:rPr>
          <w:rFonts w:ascii="Arial" w:hAnsi="Arial" w:cs="Arial"/>
          <w:b/>
          <w:lang w:val="en"/>
        </w:rPr>
        <w:t>A</w:t>
      </w:r>
      <w:r w:rsidRPr="003F3A71">
        <w:rPr>
          <w:rFonts w:ascii="Arial" w:hAnsi="Arial" w:cs="Arial"/>
          <w:b/>
          <w:lang w:val="en"/>
        </w:rPr>
        <w:t>CL</w:t>
      </w:r>
      <w:r w:rsidRPr="00C02FEE">
        <w:rPr>
          <w:rFonts w:ascii="Arial" w:hAnsi="Arial" w:cs="Arial"/>
          <w:b/>
          <w:lang w:val="en"/>
        </w:rPr>
        <w:t>’</w:t>
      </w:r>
      <w:r w:rsidR="001B52B4">
        <w:rPr>
          <w:rFonts w:ascii="Arial" w:hAnsi="Arial" w:cs="Arial"/>
          <w:lang w:val="en"/>
        </w:rPr>
        <w:t xml:space="preserve"> will:</w:t>
      </w:r>
    </w:p>
    <w:p w:rsidR="001B52B4" w:rsidRDefault="001B52B4" w:rsidP="001B52B4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lang w:val="en"/>
        </w:rPr>
        <w:t>Use direct contact where possible through face-to-face meetings or by telephone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Treat tenants, applicants and community members and leaders fairly and with respect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Encourage input from its members, tenants and other community members whenever it makes significant decisions about issues or policies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Provide information to community members on a regular basis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Be open about decisions made, who makes them and why it makes the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Ensure that meetings are open to the community and structured to allow people to participate</w:t>
      </w:r>
    </w:p>
    <w:p w:rsidR="001B52B4" w:rsidRDefault="001B52B4" w:rsidP="001B52B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"/>
        </w:rPr>
      </w:pPr>
    </w:p>
    <w:p w:rsidR="001B52B4" w:rsidRDefault="001B52B4" w:rsidP="001B52B4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Feedback processes</w:t>
      </w:r>
    </w:p>
    <w:p w:rsidR="001B52B4" w:rsidRDefault="001B52B4" w:rsidP="001B52B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4"/>
          <w:szCs w:val="24"/>
          <w:lang w:val="en"/>
        </w:rPr>
      </w:pPr>
    </w:p>
    <w:p w:rsidR="001B52B4" w:rsidRDefault="001B52B4" w:rsidP="001B52B4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lang w:val="en"/>
        </w:rPr>
      </w:pPr>
      <w:r>
        <w:rPr>
          <w:rFonts w:ascii="Arial" w:hAnsi="Arial" w:cs="Arial"/>
          <w:lang w:val="en"/>
        </w:rPr>
        <w:t xml:space="preserve">To ensure tenants and applicants are treated fairly and are given opportunities to express their views on the </w:t>
      </w:r>
      <w:proofErr w:type="spellStart"/>
      <w:r>
        <w:rPr>
          <w:rFonts w:ascii="Arial" w:hAnsi="Arial" w:cs="Arial"/>
          <w:lang w:val="en"/>
        </w:rPr>
        <w:t>organisation</w:t>
      </w:r>
      <w:proofErr w:type="spellEnd"/>
      <w:r>
        <w:rPr>
          <w:rFonts w:ascii="Arial" w:hAnsi="Arial" w:cs="Arial"/>
          <w:lang w:val="en"/>
        </w:rPr>
        <w:t xml:space="preserve"> or community housing issues, feedback is encouraged. Feedback is used to improve service delivery, identify changes to be made and re</w:t>
      </w:r>
      <w:r>
        <w:rPr>
          <w:rFonts w:ascii="Arial Unicode MS" w:eastAsia="Arial Unicode MS" w:hAnsi="Arial" w:cs="Arial Unicode MS" w:hint="eastAsia"/>
          <w:lang w:val="en"/>
        </w:rPr>
        <w:t>‐</w:t>
      </w:r>
      <w:r>
        <w:rPr>
          <w:rFonts w:ascii="Arial" w:eastAsia="Arial Unicode MS" w:hAnsi="Arial" w:cs="Arial"/>
          <w:lang w:val="en"/>
        </w:rPr>
        <w:t xml:space="preserve">examine aspects of policy and procedure. To ensure that tenants and applicants are aware of their rights, </w:t>
      </w:r>
      <w:r w:rsidR="00265EA6" w:rsidRPr="003F3A71">
        <w:rPr>
          <w:rFonts w:ascii="Arial" w:hAnsi="Arial" w:cs="Arial"/>
          <w:b/>
          <w:lang w:val="en"/>
        </w:rPr>
        <w:t>‘WHA</w:t>
      </w:r>
      <w:r w:rsidR="00265EA6">
        <w:rPr>
          <w:rFonts w:ascii="Arial" w:hAnsi="Arial" w:cs="Arial"/>
          <w:b/>
          <w:lang w:val="en"/>
        </w:rPr>
        <w:t>A</w:t>
      </w:r>
      <w:r w:rsidR="00265EA6" w:rsidRPr="003F3A71">
        <w:rPr>
          <w:rFonts w:ascii="Arial" w:hAnsi="Arial" w:cs="Arial"/>
          <w:b/>
          <w:lang w:val="en"/>
        </w:rPr>
        <w:t>CL</w:t>
      </w:r>
      <w:r w:rsidR="00265EA6" w:rsidRPr="00C02FEE">
        <w:rPr>
          <w:rFonts w:ascii="Arial" w:hAnsi="Arial" w:cs="Arial"/>
          <w:b/>
          <w:lang w:val="en"/>
        </w:rPr>
        <w:t>’</w:t>
      </w:r>
      <w:r>
        <w:rPr>
          <w:rFonts w:ascii="Arial" w:eastAsia="Arial Unicode MS" w:hAnsi="Arial" w:cs="Arial"/>
          <w:lang w:val="en"/>
        </w:rPr>
        <w:t xml:space="preserve"> will:</w:t>
      </w:r>
    </w:p>
    <w:p w:rsidR="001B52B4" w:rsidRDefault="001B52B4" w:rsidP="001B52B4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lang w:val="en"/>
        </w:rPr>
      </w:pP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lang w:val="en"/>
        </w:rPr>
      </w:pPr>
      <w:r>
        <w:rPr>
          <w:rFonts w:ascii="Arial" w:eastAsia="Arial Unicode MS" w:hAnsi="Arial" w:cs="Arial"/>
          <w:lang w:val="en"/>
        </w:rPr>
        <w:t>Give tenants and applicants information on their rights and responsibilities in a format that is easy to understand.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lang w:val="en"/>
        </w:rPr>
      </w:pPr>
      <w:r>
        <w:rPr>
          <w:rFonts w:ascii="Arial" w:eastAsia="Arial Unicode MS" w:hAnsi="Arial" w:cs="Arial"/>
          <w:lang w:val="en"/>
        </w:rPr>
        <w:t xml:space="preserve">Have policies that are consistent with the </w:t>
      </w:r>
      <w:proofErr w:type="spellStart"/>
      <w:r>
        <w:rPr>
          <w:rFonts w:ascii="Arial" w:eastAsia="Arial Unicode MS" w:hAnsi="Arial" w:cs="Arial"/>
          <w:lang w:val="en"/>
        </w:rPr>
        <w:t>organisation’s</w:t>
      </w:r>
      <w:proofErr w:type="spellEnd"/>
      <w:r>
        <w:rPr>
          <w:rFonts w:ascii="Arial" w:eastAsia="Arial Unicode MS" w:hAnsi="Arial" w:cs="Arial"/>
          <w:lang w:val="en"/>
        </w:rPr>
        <w:t xml:space="preserve"> constitution and applicants’ rights and responsibilities.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lang w:val="en"/>
        </w:rPr>
      </w:pPr>
      <w:r>
        <w:rPr>
          <w:rFonts w:ascii="Arial" w:eastAsia="Arial Unicode MS" w:hAnsi="Arial" w:cs="Arial"/>
          <w:lang w:val="en"/>
        </w:rPr>
        <w:t xml:space="preserve">Have clear mechanisms and structures by which tenants and active applicants have the opportunity to provide input into the </w:t>
      </w:r>
      <w:proofErr w:type="spellStart"/>
      <w:r>
        <w:rPr>
          <w:rFonts w:ascii="Arial" w:eastAsia="Arial Unicode MS" w:hAnsi="Arial" w:cs="Arial"/>
          <w:lang w:val="en"/>
        </w:rPr>
        <w:t>organisation</w:t>
      </w:r>
      <w:proofErr w:type="spellEnd"/>
      <w:r>
        <w:rPr>
          <w:rFonts w:ascii="Arial" w:eastAsia="Arial Unicode MS" w:hAnsi="Arial" w:cs="Arial"/>
          <w:lang w:val="en"/>
        </w:rPr>
        <w:t xml:space="preserve"> and encourage them to participate in decision-making activities.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lang w:val="en"/>
        </w:rPr>
      </w:pPr>
      <w:r>
        <w:rPr>
          <w:rFonts w:ascii="Arial" w:eastAsia="Arial Unicode MS" w:hAnsi="Arial" w:cs="Arial"/>
          <w:lang w:val="en"/>
        </w:rPr>
        <w:t>Inform and seek the opinion and ideas of tenants and active applicants when considering important changes.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lang w:val="en"/>
        </w:rPr>
      </w:pPr>
      <w:r>
        <w:rPr>
          <w:rFonts w:ascii="Arial" w:eastAsia="Arial Unicode MS" w:hAnsi="Arial" w:cs="Arial"/>
          <w:lang w:val="en"/>
        </w:rPr>
        <w:t>Ensure people get enough information and time to make consultations useful.</w:t>
      </w:r>
    </w:p>
    <w:p w:rsidR="001B52B4" w:rsidRP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lang w:val="en"/>
        </w:rPr>
      </w:pPr>
      <w:r w:rsidRPr="001B52B4">
        <w:rPr>
          <w:rFonts w:ascii="Arial" w:eastAsia="Arial Unicode MS" w:hAnsi="Arial" w:cs="Arial"/>
          <w:lang w:val="en"/>
        </w:rPr>
        <w:t xml:space="preserve">Ensure </w:t>
      </w:r>
      <w:proofErr w:type="gramStart"/>
      <w:r w:rsidRPr="001B52B4">
        <w:rPr>
          <w:rFonts w:ascii="Arial" w:eastAsia="Arial Unicode MS" w:hAnsi="Arial" w:cs="Arial"/>
          <w:lang w:val="en"/>
        </w:rPr>
        <w:t>staff know</w:t>
      </w:r>
      <w:proofErr w:type="gramEnd"/>
      <w:r w:rsidRPr="001B52B4">
        <w:rPr>
          <w:rFonts w:ascii="Arial" w:eastAsia="Arial Unicode MS" w:hAnsi="Arial" w:cs="Arial"/>
          <w:lang w:val="en"/>
        </w:rPr>
        <w:t xml:space="preserve"> the support options available and have working relationships with key individuals in other appropriate </w:t>
      </w:r>
      <w:proofErr w:type="spellStart"/>
      <w:r w:rsidRPr="001B52B4">
        <w:rPr>
          <w:rFonts w:ascii="Arial" w:eastAsia="Arial Unicode MS" w:hAnsi="Arial" w:cs="Arial"/>
          <w:lang w:val="en"/>
        </w:rPr>
        <w:t>organisations</w:t>
      </w:r>
      <w:proofErr w:type="spellEnd"/>
      <w:r w:rsidRPr="001B52B4">
        <w:rPr>
          <w:rFonts w:ascii="Arial" w:eastAsia="Arial Unicode MS" w:hAnsi="Arial" w:cs="Arial"/>
          <w:lang w:val="en"/>
        </w:rPr>
        <w:t xml:space="preserve"> in their local community.</w:t>
      </w:r>
      <w:r w:rsidRPr="001B52B4">
        <w:rPr>
          <w:rFonts w:ascii="Arial" w:eastAsia="Arial Unicode MS" w:hAnsi="Arial" w:cs="Arial"/>
          <w:lang w:val="en"/>
        </w:rPr>
        <w:br w:type="page"/>
      </w:r>
    </w:p>
    <w:p w:rsidR="001B52B4" w:rsidRDefault="001B52B4" w:rsidP="001B52B4">
      <w:pPr>
        <w:autoSpaceDE w:val="0"/>
        <w:autoSpaceDN w:val="0"/>
        <w:adjustRightInd w:val="0"/>
        <w:spacing w:before="240" w:after="240"/>
        <w:rPr>
          <w:rFonts w:ascii="Arial" w:eastAsia="Arial Unicode MS" w:hAnsi="Arial" w:cs="Arial"/>
          <w:b/>
          <w:bCs/>
          <w:sz w:val="24"/>
          <w:szCs w:val="24"/>
          <w:lang w:val="en"/>
        </w:rPr>
      </w:pPr>
      <w:r>
        <w:rPr>
          <w:rFonts w:ascii="Arial" w:eastAsia="Arial Unicode MS" w:hAnsi="Arial" w:cs="Arial"/>
          <w:b/>
          <w:bCs/>
          <w:sz w:val="24"/>
          <w:szCs w:val="24"/>
          <w:lang w:val="en"/>
        </w:rPr>
        <w:lastRenderedPageBreak/>
        <w:t>Responsibilities</w:t>
      </w:r>
    </w:p>
    <w:p w:rsidR="001B52B4" w:rsidRDefault="001B52B4" w:rsidP="001B52B4">
      <w:pPr>
        <w:autoSpaceDE w:val="0"/>
        <w:autoSpaceDN w:val="0"/>
        <w:adjustRightInd w:val="0"/>
        <w:spacing w:before="240" w:after="240"/>
        <w:rPr>
          <w:rFonts w:ascii="Arial" w:eastAsia="Arial Unicode MS" w:hAnsi="Arial" w:cs="Arial"/>
          <w:b/>
          <w:bCs/>
          <w:sz w:val="24"/>
          <w:szCs w:val="24"/>
          <w:lang w:val="en"/>
        </w:rPr>
      </w:pPr>
    </w:p>
    <w:p w:rsidR="001B52B4" w:rsidRDefault="001B52B4" w:rsidP="001B52B4">
      <w:pPr>
        <w:autoSpaceDE w:val="0"/>
        <w:autoSpaceDN w:val="0"/>
        <w:adjustRightInd w:val="0"/>
        <w:spacing w:before="240" w:after="240"/>
        <w:rPr>
          <w:rFonts w:ascii="Arial" w:eastAsia="Arial Unicode MS" w:hAnsi="Arial" w:cs="Arial"/>
          <w:lang w:val="en"/>
        </w:rPr>
      </w:pPr>
      <w:r>
        <w:rPr>
          <w:rFonts w:ascii="Arial" w:eastAsia="Arial Unicode MS" w:hAnsi="Arial" w:cs="Arial"/>
          <w:lang w:val="en"/>
        </w:rPr>
        <w:t xml:space="preserve">All </w:t>
      </w:r>
      <w:r w:rsidR="00265EA6" w:rsidRPr="003F3A71">
        <w:rPr>
          <w:rFonts w:ascii="Arial" w:hAnsi="Arial" w:cs="Arial"/>
          <w:b/>
          <w:lang w:val="en"/>
        </w:rPr>
        <w:t>‘WHA</w:t>
      </w:r>
      <w:r w:rsidR="00265EA6">
        <w:rPr>
          <w:rFonts w:ascii="Arial" w:hAnsi="Arial" w:cs="Arial"/>
          <w:b/>
          <w:lang w:val="en"/>
        </w:rPr>
        <w:t>A</w:t>
      </w:r>
      <w:r w:rsidR="00265EA6" w:rsidRPr="003F3A71">
        <w:rPr>
          <w:rFonts w:ascii="Arial" w:hAnsi="Arial" w:cs="Arial"/>
          <w:b/>
          <w:lang w:val="en"/>
        </w:rPr>
        <w:t>CL</w:t>
      </w:r>
      <w:r w:rsidR="00265EA6" w:rsidRPr="00C02FEE">
        <w:rPr>
          <w:rFonts w:ascii="Arial" w:hAnsi="Arial" w:cs="Arial"/>
          <w:b/>
          <w:lang w:val="en"/>
        </w:rPr>
        <w:t>’</w:t>
      </w:r>
      <w:r>
        <w:rPr>
          <w:rFonts w:ascii="Arial" w:eastAsia="Arial Unicode MS" w:hAnsi="Arial" w:cs="Arial"/>
          <w:lang w:val="en"/>
        </w:rPr>
        <w:t xml:space="preserve"> staff members, including board members, are responsible for the delivery of the Tenant Engagement Policy.</w:t>
      </w:r>
    </w:p>
    <w:p w:rsidR="001B52B4" w:rsidRDefault="001B52B4" w:rsidP="001B52B4">
      <w:pPr>
        <w:autoSpaceDE w:val="0"/>
        <w:autoSpaceDN w:val="0"/>
        <w:adjustRightInd w:val="0"/>
        <w:spacing w:before="240" w:after="240"/>
        <w:rPr>
          <w:rFonts w:ascii="Arial" w:eastAsia="Arial Unicode MS" w:hAnsi="Arial" w:cs="Arial"/>
          <w:b/>
          <w:bCs/>
          <w:sz w:val="24"/>
          <w:szCs w:val="24"/>
          <w:lang w:val="en"/>
        </w:rPr>
      </w:pPr>
    </w:p>
    <w:p w:rsidR="001B52B4" w:rsidRDefault="001B52B4" w:rsidP="001B52B4">
      <w:pPr>
        <w:autoSpaceDE w:val="0"/>
        <w:autoSpaceDN w:val="0"/>
        <w:adjustRightInd w:val="0"/>
        <w:spacing w:before="120" w:after="120"/>
        <w:rPr>
          <w:rFonts w:ascii="Arial" w:eastAsia="Arial Unicode MS" w:hAnsi="Arial" w:cs="Arial"/>
          <w:b/>
          <w:bCs/>
          <w:sz w:val="24"/>
          <w:szCs w:val="24"/>
          <w:lang w:val="en"/>
        </w:rPr>
      </w:pPr>
      <w:r>
        <w:rPr>
          <w:rFonts w:ascii="Arial" w:eastAsia="Arial Unicode MS" w:hAnsi="Arial" w:cs="Arial"/>
          <w:b/>
          <w:bCs/>
          <w:sz w:val="24"/>
          <w:szCs w:val="24"/>
          <w:lang w:val="en"/>
        </w:rPr>
        <w:t>Related Documents</w:t>
      </w:r>
    </w:p>
    <w:p w:rsidR="001B52B4" w:rsidRDefault="001B52B4" w:rsidP="001B52B4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20" w:hanging="360"/>
        <w:rPr>
          <w:rFonts w:ascii="Arial" w:eastAsia="Arial Unicode MS" w:hAnsi="Arial" w:cs="Arial"/>
          <w:lang w:val="en"/>
        </w:rPr>
      </w:pPr>
      <w:r>
        <w:rPr>
          <w:rFonts w:ascii="Arial" w:eastAsia="Arial Unicode MS" w:hAnsi="Arial" w:cs="Arial"/>
          <w:lang w:val="en"/>
        </w:rPr>
        <w:t>Housing and Tenancy Management Policy</w:t>
      </w:r>
    </w:p>
    <w:p w:rsidR="001B52B4" w:rsidRDefault="001B52B4" w:rsidP="001B52B4">
      <w:pPr>
        <w:autoSpaceDE w:val="0"/>
        <w:autoSpaceDN w:val="0"/>
        <w:adjustRightInd w:val="0"/>
        <w:spacing w:before="120" w:after="120"/>
        <w:ind w:left="720"/>
        <w:rPr>
          <w:rFonts w:ascii="Arial" w:eastAsia="Arial Unicode MS" w:hAnsi="Arial" w:cs="Arial"/>
          <w:b/>
          <w:bCs/>
          <w:lang w:val="en"/>
        </w:rPr>
      </w:pPr>
      <w:bookmarkStart w:id="0" w:name="_GoBack"/>
      <w:bookmarkEnd w:id="0"/>
    </w:p>
    <w:sectPr w:rsidR="001B52B4" w:rsidSect="008A2E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8223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B4"/>
    <w:rsid w:val="001B52B4"/>
    <w:rsid w:val="00265EA6"/>
    <w:rsid w:val="00776C61"/>
    <w:rsid w:val="00C37B13"/>
    <w:rsid w:val="00D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Riddell</dc:creator>
  <cp:lastModifiedBy>Mark Riddell</cp:lastModifiedBy>
  <cp:revision>4</cp:revision>
  <dcterms:created xsi:type="dcterms:W3CDTF">2018-09-01T05:18:00Z</dcterms:created>
  <dcterms:modified xsi:type="dcterms:W3CDTF">2018-09-02T03:38:00Z</dcterms:modified>
</cp:coreProperties>
</file>